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53" w:rsidRPr="00DC7653" w:rsidRDefault="00DC7653" w:rsidP="00DC7653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DC7653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ПРЕДПРИЯТИЯ ПО ДОБЫЧЕ И БУТИЛИРОВАНИЮ АРТЕЗИАНСКОЙ ВОДЫ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bookmarkStart w:id="0" w:name="_GoBack"/>
      <w:bookmarkEnd w:id="0"/>
      <w:r w:rsidRPr="00DC7653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 РЕЗЮМЕ ПРОЕКТА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проекта – создание предприятия по добыче и </w:t>
      </w:r>
      <w:proofErr w:type="spell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бутилированию</w:t>
      </w:r>
      <w:proofErr w:type="spell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артезианской воды. Целесообразность проекта обусловлена растущей популярностью данного продукта как при использовании в офисах, так и для домашнего пользования.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Расположение производства – х. </w:t>
      </w:r>
      <w:proofErr w:type="spell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Пухляковский</w:t>
      </w:r>
      <w:proofErr w:type="spell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Ростовская область. Регион сбыта – Ростов-на-Дону и Ростовская область. Ценовой сегмент – «Стандарт+». Производственное помещение предполагается оформить в аренду, доставка осуществляется собственным транспортом. Дистрибуция осуществляется через партнерскую сеть магазинов. Регистрируется торговая марка «</w:t>
      </w:r>
      <w:proofErr w:type="spell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ВодоПух</w:t>
      </w:r>
      <w:proofErr w:type="spell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товарный знак.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является привлекательным для инвестирования, что подтверждается финансовыми расчетами и полученными в результате интегральными показателями эффективности (Табл. 1).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lang w:eastAsia="ru-RU"/>
        </w:rPr>
        <w:t>Таблица 1. Интегральные показатели эффективности проекта</w:t>
      </w:r>
    </w:p>
    <w:p w:rsidR="00DC7653" w:rsidRPr="00DC7653" w:rsidRDefault="00DC7653" w:rsidP="00DC7653">
      <w:pPr>
        <w:shd w:val="clear" w:color="auto" w:fill="FFFFFF"/>
        <w:spacing w:before="100" w:beforeAutospacing="1" w:after="240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34025" cy="1666875"/>
            <wp:effectExtent l="0" t="0" r="9525" b="9525"/>
            <wp:docPr id="10" name="Рисунок 10" descr="Интегральные показатели эффективности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гральные показатели эффективности проек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DC7653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 ОПИСАНИЕ КОМПАНИИ И ОТРАСЛИ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Компания осуществляет деятельность по добыче и розливу артезианской воды в 19-литровые бутыли. Основными потребителями данного продукта являются организации </w:t>
      </w: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любой сферы деятельности и любого размера; использование бутилированной воды для нужд домашних хозяйств в нашей стране развито незначительно, однако все более набирает популярность. Сегодня, по различным данным, в России потребление бутилированной воды на одного человека составляет порядка 40 л в месяц; в Европе этот показатель находится в пределах 100-150 л. Таким образом, можно с полной уверенностью говорить о значительном потенциале роста отрасли. Также следует учесть и то, что Россия и, в частности, Ростовская область, имеют большие запасы пресной воды, что положительно сказывается на себестоимости конечного продукта.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Росстата, в Ростовской области осуществляют деятельность более 5 000 субъектов только малого и среднего предпринимательства. Если принять среднюю численность предприятия в 20 человек, это составит 100 000 потенциальных потребителей. Исходя из ежемесячного потребления воды в 40 л в месяц, из которых порядка 75% человек потребляет на рабочем месте, общая потребность в обеспеченности водой организаций составляет 100 000*40*0,75= 3 000 000 литров в месяц. Количество домашних хозяйств и их водопотребление оценить крайне сложно, однако можно говорить о том, что оно не меньше потребления воды организациями.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Конкурентная среда в регионе представлена тремя крупнейшими поставщиками, два из которых и производят, и осуществляют дистрибуцию через сеть собственных магазинов (1 и 3 собственных торговых марки соответственно), а один является дистрибутором-</w:t>
      </w:r>
      <w:proofErr w:type="spell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агрегатором</w:t>
      </w:r>
      <w:proofErr w:type="spell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ввозящим в регион воду из других регионов (7 торговых марок в различных ценовых сегментах);</w:t>
      </w:r>
      <w:proofErr w:type="gram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того, в области присутствуют порядка 10 региональных производителей, выпускающих продукцию бюджетного сегмента и осуществляющих дистрибуцию через поселковые продуктовые магазины, в крупных городах области они, как правило, не присутствуют.</w:t>
      </w:r>
    </w:p>
    <w:p w:rsidR="00DC7653" w:rsidRPr="00DC7653" w:rsidRDefault="00DC7653" w:rsidP="00DC7653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Технологический процесс включает подъем воды из предварительно пробуренной скважины, ее очистку, умягчение и </w:t>
      </w:r>
      <w:proofErr w:type="gram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обеззараживание</w:t>
      </w:r>
      <w:proofErr w:type="gram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последующий розлив в бутыли. После этого собственным транспортом вода доставляется к местам продажи. Продажа осуществляется через сеть партнерских магазинов. Конкурентоспособность предприятия обеспечивается за счет высокого качества очистки и органолептических свойств воды, обеспечиваемых качественной водоподготовкой. 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DC7653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 ОПИСАНИЕ ТОВАРОВ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Предприятие добывает воду из артезианской скважины, расположенной в хуторе </w:t>
      </w:r>
      <w:proofErr w:type="spell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Пухляковском</w:t>
      </w:r>
      <w:proofErr w:type="spell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Ростовской области. Вода данного региона отличается высокой мягкостью, а также низкой кислотностью и содержанием примесей металлов. Путем обработки на </w:t>
      </w: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специальном оборудовании вода </w:t>
      </w:r>
      <w:proofErr w:type="gram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фильтруется</w:t>
      </w:r>
      <w:proofErr w:type="gram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обеззараживается, повышаются ее органолептические свойства.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бутилированной питьевой воды регламентируется СанПиН 2.1.4.1116-02. Согласно данному регламенту, вся питьевая вода разделяется на две категории: 1-я категория и высшая категория. «</w:t>
      </w:r>
      <w:proofErr w:type="spell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ВодоПух</w:t>
      </w:r>
      <w:proofErr w:type="spell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относится к высшей категории, что позволит повысить рентабельность предприятия за счет более высокой цены продажи, а, соответственно, увеличить маржинальный доход предприятия.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 характеристики воды «</w:t>
      </w:r>
      <w:proofErr w:type="spell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ВодоПуХ</w:t>
      </w:r>
      <w:proofErr w:type="spell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подтверждены независимыми лабораториями г. Ростова-на-Дону. Основные характеристики воды приведены в</w:t>
      </w:r>
      <w:proofErr w:type="gram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2 в сравнении с требованиями СанПиН 2.1.4.1116-02.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lang w:eastAsia="ru-RU"/>
        </w:rPr>
        <w:t>Таблица 2. Сравнительное описание основных свойств воды «</w:t>
      </w:r>
      <w:proofErr w:type="spellStart"/>
      <w:r w:rsidRPr="00DC7653">
        <w:rPr>
          <w:rFonts w:ascii="Times New Roman" w:eastAsia="Times New Roman" w:hAnsi="Times New Roman" w:cs="Times New Roman"/>
          <w:color w:val="000000"/>
          <w:lang w:eastAsia="ru-RU"/>
        </w:rPr>
        <w:t>ВодоПух</w:t>
      </w:r>
      <w:proofErr w:type="spellEnd"/>
      <w:r w:rsidRPr="00DC7653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91225" cy="2057400"/>
            <wp:effectExtent l="0" t="0" r="9525" b="0"/>
            <wp:docPr id="9" name="Рисунок 9" descr="Сравнительное описание основных свойств воды «ВодоПух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равнительное описание основных свойств воды «ВодоПух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показателям безвредности химического состава, органическому, радиационному и бактериологическому загрязнению, а также по другим параметрам, приведенным в нормативе, «</w:t>
      </w:r>
      <w:proofErr w:type="spell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ВодоПух</w:t>
      </w:r>
      <w:proofErr w:type="spell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полностью соответствует требованиям, по большинству параметров значительно превосходя их.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 разливается в 19-литровые ПЭТ-бутыли с ручкой. ПЭТ используется в качестве альтернативе более распространенным поликарбонатным бутылям, которые, несмотря на более высокую жесткость и более долгий срок оборачиваемости, содержат </w:t>
      </w:r>
      <w:proofErr w:type="spell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бисфенол</w:t>
      </w:r>
      <w:proofErr w:type="spellEnd"/>
      <w:proofErr w:type="gram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негативно сказывается на вкусовых качествах воды. Оборот бутылей, согласно ТО 2297-01-96201068-2008, составляет 50-60 циклов; на практике срок эксплуатации – 1,5-2 года. После этого тара подлежит утилизации.</w:t>
      </w:r>
    </w:p>
    <w:p w:rsidR="00DC7653" w:rsidRPr="00DC7653" w:rsidRDefault="00DC7653" w:rsidP="00DC7653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бутыли наносится этикетка с фирменным логотипом «</w:t>
      </w:r>
      <w:proofErr w:type="spell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ВодоПух</w:t>
      </w:r>
      <w:proofErr w:type="spell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информацией о производителе, параметрах воды и контактной информацией магазинов-партнеров. 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DC7653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 ПРОДАЖИ И МАРКЕТИНГ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воды «</w:t>
      </w:r>
      <w:proofErr w:type="spell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ВодоПух</w:t>
      </w:r>
      <w:proofErr w:type="spell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производится через сеть розничных торговых точек, специализирующихся непосредственно на питьевой воде. На момент старта проекта в ассортименте сети представлены три торговых марки сегментов «Стандарт» и «Премиум». «</w:t>
      </w:r>
      <w:proofErr w:type="spell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ВодоПух</w:t>
      </w:r>
      <w:proofErr w:type="spell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занимает промежуточную нишу, что значительно повышает конкурентоспособность марки.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сетью подписан договор о сотрудничестве. Маркетинг и продвижение марки осуществляется торговой сетью; все торговые марки ассортимента рекламируются в равной степени. Финансирование рекламных мероприятий – долевое, 20% оплачивает производитель «</w:t>
      </w:r>
      <w:proofErr w:type="spell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ВодоПух</w:t>
      </w:r>
      <w:proofErr w:type="spell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30% - производитель других марок ассортимента, 50% - дистрибутор. Такое распределение долей (20/30) в целом соответствует доле марок в общем объеме продаж. Медиа-план приведен в</w:t>
      </w:r>
      <w:proofErr w:type="gram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3.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спрос на питьевую воду имеет выраженный сезонный характер, рекламная кампания планируется с учетом его изменений.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lang w:eastAsia="ru-RU"/>
        </w:rPr>
        <w:t>Таблица 3. Медиа-план ежегодной рекламной кампании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81700" cy="1266825"/>
            <wp:effectExtent l="0" t="0" r="0" b="9525"/>
            <wp:docPr id="8" name="Рисунок 8" descr="Медиа-план ежегодной рекламной камп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диа-план ежегодной рекламной кампан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Продажа воды торговой сетью осуществляется как через торговые точки самовывозом, так и с доставкой на дом по предварительному заказу. Заказ может быть оформлен как по телефону, так и через интернет-сайт сети.</w:t>
      </w:r>
    </w:p>
    <w:p w:rsidR="00DC7653" w:rsidRPr="00DC7653" w:rsidRDefault="00DC7653" w:rsidP="00DC7653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январь 2016 года доля сети в общем объеме продаж бутилированной (19 л бутыли) воды составляет 15%. За счет расширения ассортимента водой «</w:t>
      </w:r>
      <w:proofErr w:type="spell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ВодоПух</w:t>
      </w:r>
      <w:proofErr w:type="spell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предполагается увеличение доли до 20%. 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DC7653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 ПЛАН ПРОИЗВОДСТВА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этап реализации проекта – бурение скважины на территории, прилежащей к х. </w:t>
      </w:r>
      <w:proofErr w:type="spell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Пухляковский</w:t>
      </w:r>
      <w:proofErr w:type="spell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Ростовской области. Добыча воды происходит из второго водоносного горизонта; глубина его залегания – 120-150 м. Ожидаемый дебет скважины – 90 м</w:t>
      </w: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/сутки. Разведка и бурение производятся специализированной компанией. Стоимость работ приведена в</w:t>
      </w:r>
      <w:proofErr w:type="gram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4.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Таблица 4. Стоимость работ по устройству артезианской скважины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19800" cy="838200"/>
            <wp:effectExtent l="0" t="0" r="0" b="0"/>
            <wp:docPr id="7" name="Рисунок 7" descr="Стоимость работ по устройству артезианской скваж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оимость работ по устройству артезианской скважи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Вода подается в производственное помещение, расположенное в 50-70 м от скважины, в котором осуществляется непосредственно </w:t>
      </w:r>
      <w:proofErr w:type="spell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бутилирование</w:t>
      </w:r>
      <w:proofErr w:type="spell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Список оборудования приведен в</w:t>
      </w:r>
      <w:proofErr w:type="gram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5.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lang w:eastAsia="ru-RU"/>
        </w:rPr>
        <w:t>Таблица 5. Комплект оборудования для розлива воды в 19-литровые бутыли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38850" cy="1428750"/>
            <wp:effectExtent l="0" t="0" r="0" b="0"/>
            <wp:docPr id="6" name="Рисунок 6" descr="Комплект оборудования для розлива воды в 19-литровые буты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мплект оборудования для розлива воды в 19-литровые бутыл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Дебет скважины превышает необходимый в течение первых двух лет реализации проекта объем воды. Объем производства диктуется объемами розничных продаж. Средний объем производства в первые два года – 10 000 литров в сутки. На складе необходимо поддерживать постоянный запас для покрытия двухдневного спроса. Для транспортировки воды от места производства к точкам продажи используются три легких грузовых автомобиля грузоподъемностью 1,5 т.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Требуемая площадь производственного участка – 50 </w:t>
      </w:r>
      <w:proofErr w:type="spell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склада – 80 </w:t>
      </w:r>
      <w:proofErr w:type="spell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Количество производственных рабочих – 4 человека. Количество вспомогательных и складских рабочих – 3 чел. Полное штатное расписание приведено в</w:t>
      </w:r>
      <w:proofErr w:type="gram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6. План производства приведен в</w:t>
      </w:r>
      <w:proofErr w:type="gram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рил. 5.</w:t>
      </w:r>
    </w:p>
    <w:p w:rsidR="00DC7653" w:rsidRPr="00DC7653" w:rsidRDefault="00DC7653" w:rsidP="00DC7653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рабочие места сертифицируются согласно законодательству, обеспечивается максимальная безопасность и наличие средств охраны труда.  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DC7653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 ОРГАНИЗАЦИОННЫЙ ПЛАН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административные и управленческие функции выполняются индивидуальным предпринимателем. Для организации эффективной работы ему необходимо обладать общими знаниями в области предпринимательства, налогового законодательства и бухгалтерского учета. Важным является также знание детальное знание технологии </w:t>
      </w: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производства и охраны труда. </w:t>
      </w:r>
      <w:proofErr w:type="gram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технологии</w:t>
      </w:r>
      <w:proofErr w:type="gram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поставщик оборудования в течение 2 рабочих дней после монтажа оборудования непосредственно на производстве.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lang w:eastAsia="ru-RU"/>
        </w:rPr>
        <w:t>Таблица 6. Штатное расписание и фонд оплаты труда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48375" cy="5553075"/>
            <wp:effectExtent l="0" t="0" r="9525" b="9525"/>
            <wp:docPr id="5" name="Рисунок 5" descr="Штатное расписание и фонд оплаты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татное расписание и фонд оплаты тру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работники напрямую подчинены собственнику предприятия.</w:t>
      </w:r>
    </w:p>
    <w:p w:rsidR="00DC7653" w:rsidRPr="00DC7653" w:rsidRDefault="00DC7653" w:rsidP="00DC7653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Грузчики выполняют как работы на территории производства, так и работают на выезде при разгрузке машин на торговых точках. Диспетчер осуществляет прием заказов от дистрибутора, а также планирует маршрут движения автомобилей. 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DC7653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 ФИНАНСОВЫЙ ПЛАН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Финансовый план рассчитан на пятилетний период. Рассчитаны основные экономические показатели, денежный поток – обычный и дисконтированный.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lang w:eastAsia="ru-RU"/>
        </w:rPr>
        <w:t>Таблица 7. Инвестиционные затраты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057900" cy="5600700"/>
            <wp:effectExtent l="0" t="0" r="0" b="0"/>
            <wp:docPr id="4" name="Рисунок 4" descr="Инвестиционные затр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нвестиционные затрат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lang w:eastAsia="ru-RU"/>
        </w:rPr>
        <w:t>Таблица 8. Переменные затраты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91225" cy="2038350"/>
            <wp:effectExtent l="0" t="0" r="9525" b="0"/>
            <wp:docPr id="3" name="Рисунок 3" descr="bp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p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lang w:eastAsia="ru-RU"/>
        </w:rPr>
        <w:t>Таблица 9. Постоянные затраты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62650" cy="2476500"/>
            <wp:effectExtent l="0" t="0" r="0" b="0"/>
            <wp:docPr id="2" name="Рисунок 2" descr="bp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p-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53" w:rsidRPr="00DC7653" w:rsidRDefault="00DC7653" w:rsidP="00DC7653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финансовый план приведен в</w:t>
      </w:r>
      <w:proofErr w:type="gram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рил. 7. На основании сравнения финансовых показателей была выбрана упрощенная система налогообложения (УСН) с объектом доход минус расход. 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DC7653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 ОЦЕНКА ЭФФЕКТИВНОСТИ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полученных финансовых расчетов определены интегральные показатели эффективности проекта (Табл. 1). Ставка дисконтирования в 10% выбрана исходя низкого уровня рисков по проекту, а </w:t>
      </w:r>
      <w:proofErr w:type="gramStart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proofErr w:type="gramEnd"/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поскольку отрасль не является инновационной, рынок хорошо известен и не подвержен влиянию негативных факторов со стороны общей экономической ситуации в стране.</w:t>
      </w:r>
    </w:p>
    <w:p w:rsidR="00DC7653" w:rsidRPr="00DC7653" w:rsidRDefault="00DC7653" w:rsidP="00DC7653">
      <w:pPr>
        <w:shd w:val="clear" w:color="auto" w:fill="FFFFFF"/>
        <w:spacing w:before="100" w:beforeAutospacing="1" w:after="24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интегральные показатели эффективности можно сделать вывод о том, что проект является перспективным и представляет интерес для инвестора.  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DC7653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 ГАРАНТИИ И РИСКИ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Таблица 10. Возможные риски и мероприятия по их предотвращению и/или ликвидации последствий</w:t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10275" cy="2476500"/>
            <wp:effectExtent l="0" t="0" r="9525" b="0"/>
            <wp:docPr id="1" name="Рисунок 1" descr="bp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p-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53" w:rsidRPr="00DC7653" w:rsidRDefault="00DC7653" w:rsidP="00DC7653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названные факторы, можно сделать вывод, что риски по проекту достаточно низки.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53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3CEF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653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653"/>
  </w:style>
  <w:style w:type="paragraph" w:styleId="a4">
    <w:name w:val="Balloon Text"/>
    <w:basedOn w:val="a"/>
    <w:link w:val="a5"/>
    <w:uiPriority w:val="99"/>
    <w:semiHidden/>
    <w:unhideWhenUsed/>
    <w:rsid w:val="00DC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7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6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7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653"/>
  </w:style>
  <w:style w:type="paragraph" w:styleId="a4">
    <w:name w:val="Balloon Text"/>
    <w:basedOn w:val="a"/>
    <w:link w:val="a5"/>
    <w:uiPriority w:val="99"/>
    <w:semiHidden/>
    <w:unhideWhenUsed/>
    <w:rsid w:val="00DC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0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2016-09-04T08:59:00Z</dcterms:created>
  <dcterms:modified xsi:type="dcterms:W3CDTF">2016-09-04T09:00:00Z</dcterms:modified>
</cp:coreProperties>
</file>