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432F0E" w:rsidRPr="00432F0E" w:rsidTr="00432F0E">
        <w:tc>
          <w:tcPr>
            <w:tcW w:w="0" w:type="auto"/>
            <w:vAlign w:val="center"/>
            <w:hideMark/>
          </w:tcPr>
          <w:tbl>
            <w:tblPr>
              <w:tblW w:w="99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432F0E" w:rsidRPr="00432F0E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97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795"/>
                  </w:tblGrid>
                  <w:tr w:rsidR="00432F0E" w:rsidRPr="00432F0E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32F0E" w:rsidRPr="00432F0E" w:rsidRDefault="00432F0E" w:rsidP="00432F0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32F0E" w:rsidRPr="00432F0E" w:rsidRDefault="00432F0E" w:rsidP="00432F0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2F0E" w:rsidRPr="00432F0E" w:rsidRDefault="00432F0E" w:rsidP="00432F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2F0E" w:rsidRPr="00432F0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F0E" w:rsidRPr="00432F0E" w:rsidRDefault="00432F0E" w:rsidP="00432F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432F0E" w:rsidRPr="00432F0E" w:rsidRDefault="00432F0E" w:rsidP="00432F0E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432F0E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 xml:space="preserve">БИЗНЕС-ПЛАН ПИЛОРАМЫ 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организация 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производству пиломатериала</w:t>
      </w:r>
      <w:bookmarkStart w:id="0" w:name="_GoBack"/>
      <w:bookmarkEnd w:id="0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 Крым, в непосредственной близости от г. Симферополь. 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Предпосылками к разработке проекта являются: дефицит доступных по цене строительных материалов на территории республики, связанный с отсутствием сухопутного сообщения с материком; отсутствие налаженных каналов поставок от российских производителей; реализация государственной программы по развитию республики, связанная с развитием инфраструктуры, жилищным строительством и т.д.; повышенный интерес частных инвесторов к строительству в республике.</w:t>
      </w:r>
      <w:proofErr w:type="gramEnd"/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 является одним из наиболее широко применяемых строительных материалов, который может быть использован для наружной и внутренней отделки зданий, при устройстве полов, лестниц, кровли и т.д.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цепочка организации производства включает поставку леса-кругляка, его распил и строгание на месте. Сбыт – оптом по региональным базам строительных материалов. Некоторый объем может реализовываться самовывозом в розницу.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организационно-правовой формы выбрано общество с ограниченной ответственностью; форма налогообложения – УСН.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является инвестиционно-привлекательным, что подтверждается интегральными показателями эффективности, рассчитанными с учетом всех затрат и планируемой выручки предприятия. Показатели приведены в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1"/>
        <w:gridCol w:w="1749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1,171%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50 745 289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18,04%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16,73%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7,08 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2. ОПИСАНИЕ ОТРАСЛИ И КОМПАНИИ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открытых источниках есть информация только об одном производителе пиломатериалов на всей территории республики, расположенном в г. Джанкой. 97% пиломатериала приходит в Крым в готовом виде от поставщиков на материке. При этом стоимость их в среднем на 55-65% выше стоимости аналогичных материалов в других регионах РФ.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темпы строительства растут. Согласно правительственной программе развития республики, территория г. Симферополь должна быть расширена в 7 раз. Кроме того, увеличиваются объемы строительства и реконструкции туристической инфраструктуры. Организация свободной экономической зоны (СЭЗ Крым) делает регион привлекательным для инвесторов из других регионов.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в регионе присутствуют и успешно функционируют от 50 до 70 баз строительных материалов, реализующих обрезной и необрезной пиломатериал оптом и в розницу. Поставки им осуществляются от производителей «лесных» регионов материковой части РФ. Все эти организации являются потенциальными потребителями продукции, производимой проектом. Общий объем потребления пиломатериалов в республике и г. Севастополь оценивается в 12-15 тысяч кубометров в месяц.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востребованным типом продукции является обрезная доска, имеющая широчайший спектр применения. Затем – брус, строганая доска, блок-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хаус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имитация бруса и т.д. На обрезную доску приходится не менее 65% всего рыночного объема или 8,5 тысяч кубометров. В ближайшие годы ожидается стабильный ро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спр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 в пределах 5-10% ежегодно.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уделено выбору поставщика. Отбор производился по ряду параметров: качество и цена материала, удобство и стоимость логистики, стабильность поставки требуемых объемов. Производство предполагается разместить не далее 5 км от станции «Симферополь – Грузовой», что с точки зрения организации логистики будет максимально удобно, т.к. перевозку сырья предполагается осуществлять железнодорожным транспортом.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Производственное помещение выбирается в первую очередь с точки зрения возможности осуществления технологического цикла, манипулирования заготовками и готовым материалом длиной 6 м и т.д. Погрузочная техника берется в аренду. Учитывая сезонный характер спроса на рассматриваемую продукцию, это 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экономически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выгодный вариант, нежели приобретение в собственность.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канал сбыта – оптовые поставки пиломатериала базам строительных материалов, расположенным на территории полуострова. Минимальный объем заказа – 30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Доставка организуется силами ООО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привлечением транспортной компании или частных перевозчиков. Кроме того, возможна реализация товара в розницу при условии самовывоза.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инвестиционным затратам можно отнести, в первую очередь, закупку технологического оборудования и затраты на формирование начального запаса сырья. Перечень и объемы инвестиционных затрат приведены в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2. Инвестиционные затраты проекта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513"/>
        <w:gridCol w:w="3080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Недвижимость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Оборудование склада и офиса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3 500 000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7 170 000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2 000 000,00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Требуемые заемные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5 170 000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18,00%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Срок, мес.: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48 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ТОВАРОВ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производимой продукции приведена в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3. Номенклатура и описание производимой продукции ООО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772"/>
        <w:gridCol w:w="5757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обрезная, толщиной 25, 40, 50 мм; длина – 6 м, 3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обрезная 1-2 сорта из древесины хвойных пород, согласно ГОСТ 8486-86 естественной влажности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Брус 100х100, 150х150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Брус из древесины хвойных пород согласно ГОСТ 8486-86 естественной влажности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необрезная 25, 50, 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необрезная, сорт 1-2 из древесины хвойных пород, естественной влажности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Брусок из древесины хвойных пород, </w:t>
            </w: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естественной влажности 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 пиломатериал производится из бревен хвойных пород (ель, сосна) на специализированном оборудовании. Поставщик – лесозаготовительное предприятие «Вятский Лесник». Сырье отличается высоким качеством и крайне низким уровнем выбраковки.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применения пиломатериала, как было сказано выше, чрезвычайно широка. Частично, сфера его использования зависит от влажности. Материал естественной влажности используется чаще всего для наружной отделки, устройстве кровли, обрешетке и т.д.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продукция складируется на закрытом неотапливаемом складе на паллете, на 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транспортируется заказчику. При складировании обеспечивается температурно-влажностный режим, не позволяющий древесине гнить и рассыхаться.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данная продукция (при соответствии ГОСТ) имеет слабо выраженные различия в потребительских характеристиках, основным конкурентным преимуществом становится цена и стабильность поставок. Стабильность обеспечивается территориальной близостью производства и возможностью распила материалов под заказ в течение суток с момента заказа. Такие сроки недостижимы при поставках с материка – срок поставки в таком случае может составлять минимум 10-14 дней.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конкурентным преимуществом предприятия в целом является и возможность реализации более гибкой ценовой политики. Основная масса поставщиков пиломатериалов с материка осуществляют отгрузку на условии предоплаты, либо оплаты по факту получения. Присутствие сотрудников ООО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непосредственно на месте позволяет оценить активы каждого клиента, его платежеспособность и репутацию, что, в свою очередь, позволяет предлагать более гибкие условия оплаты товара – рассрочку платежа, товарный кредит и т.д. В условиях сложной экономической ситуации в стране это является огромным плюсом.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 продвижению нацелены на оптовые каналы сбыта: реклама в специализированных каталогах, строительных порталах. Однако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инструментом являются активные продажи. Торговый представитель устанавливает контакты и проводит переговоры с руководителями и специалистами отделов снабжения оптовых баз, а также строительных компаний.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первого сезона работы проекта, клиентская структура компании должна состоять из 2-3 якорных клиентов, обеспечивающих до 60% объема продаж; остальные 40% должны приходиться на 10-20 небольших клиентов. Плановых результатов по выручке планируется достичь уже к концу первого строительного сезона, т.к. благодаря предварительно проведенной работе, уже существуют четкие договоренности с рядом компаний в регионе относительно сотрудничества.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отгрузки осуществляются специалистом отдела продаж, находящимся на территории производственно-складского комплекса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Отгрузка осуществляется без согласования с руководством по факту предоплаты. Отгрузка на условиях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постоплаты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отсрочки платежа и т.д. осуществляется только по согласованию с директором предприятия. Отгрузка производится в течение рабочего дня с момента подтверждения ее возможности при условии самовывоза и в течение 2-3 рабочих дней при необходимости доставки силами ООО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Конкурентная среда представлена только одним производителем пиломатериала, 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Джанкой. Однако, по имеющимся данным, организация на сегодняшний день испытывает серьезный дефицит оборотных средств. Если ранее территориальное расположение ее было удачным с точки зрения логистики, то после закрытия границы с Украиной, такое расположение становится неудобным. Информации о входящих ценах данного предприятия нет, однако известна оптовая цена, предлагаемая им своим клиентам – 8800 руб. за 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обрезного пиломатериала 1-3 сорта естественной влажности. Также есть основания предполагать, что предприятие не имеет постоянного надежного поставщика сырья, что приводит к колебанию оптовых цен и рентабельности, а также к нестабильности качества продукции.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пиломатериала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осуществляется из высококачественного леса-кругляка, поставляемого от одного из крупнейших лесозаготовителей страны. Поставка осуществляется железнодорожным транспортом до станции «Симферополь – Грузовой» в полувагонах. Загрузка одного полувагона – до 90 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Ритмичность поставок – 2 раза в месяц, объем – в зависимости от потребности.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производства регулируется в соответствии с прогнозом спроса на неделю вперед. Производительность линии – 150 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/смену. Плановая загрузка оборудования при выходе на плановые объемы продаж – 80%. Оборачиваемость склада запланирована на уровне 1 недели.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Поставщик оборудования выбран на основе подробного анализа технических характеристик станков, стоимости, условий поставки, а также отзывов о качестве оборудования и качестве работы самого поставщика.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 оборудования – 14 календарных дней с момента оплаты. Поставщик осуществляет расстановку, пуско-наладку, настройку оборудования и обучение персонала. Длительность пуско-наладочных работ – 5 рабочих дней. Плановая продолжительность обучения – 5 рабочих дней. В дальнейшем, поставщик оборудования обязуется проводить за свой счет необходимые дополнительные обучения, работу по настройке и ремонту оборудования не только в течение гарантийного срока, но и после. Условия обслуживания в гарантийный и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постгарантийный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регламентируются договором обслуживания.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увеличения эффективности производства принято решение о приобретении готовой агрегатной производственной линии вместо отдельных станков. Линия выполняет полный цикл работ по загрузке потока, снятию горбыля и его измельчению, калибровке бруса и его распиловке в соответствии с заданием.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продукция складируется в складском помещении, представляющим собой крытое неотапливаемое помещение с хорошей вентиляцией. Пиломатериал складируется штабелями с обязательным использованием 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деревянных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переложек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достаточной вентиляции. Отсутствие циркуляции воздуха может привести к образованию гнили, плесени и грибка.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переменные затраты включена стоимость сырья и затраты на транспортировку. Стоимость перевозки 1 вагона от поставщика на производство составляет 250 000 рублей при загрузке 90 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при стоимости сырья в пределах 3 500 руб./м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стоимость транспортировки составит примерно 2 800 руб./м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учитываются расходы по перевалке сырья от железнодорожной станции до производства. Таким образом, переменные затраты на 1 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составят 6 500 руб.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4. Переменные затраты и формирование оптовой цены реализации товара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239"/>
        <w:gridCol w:w="2192"/>
        <w:gridCol w:w="2418"/>
        <w:gridCol w:w="2838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9 425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7 605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33 280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Постоянные затраты складываются из аренды, рекламы, коммунальных платежей и т.д. (Табл. 5). Требуемая производственная площадь – около 200 м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складская – 300 м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необходимо предусмотреть помещение для отдыха персонала, туалеты и душ, помещение для приема пищи, конторское помещение. Таким образом, общая площадь составит порядка 600 м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типы затрат (реклама, коммунальные платежи, аренда погрузчика и т.д.) носят сезонный характер, однако в расчете приняты усредненные значения по году. 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5. Постоянные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5136"/>
        <w:gridCol w:w="4441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руб.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Телефония 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52 000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погрузчика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13 125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270 125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обеспечить высокий уровень безопасности труда. Все работники, занятые на производстве в обязательном порядке проходят обучение, аттестацию и ежегодную переаттестацию по технике безопасности. Основные требования к работникам при их найме – опыт работы на производстве (не обязательно – деревообрабатывающем) не менее 5 лет, ответственность, отсутствие вредных привычек.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проекта можно выделить следующие основные этапы: заказ и поставка оборудования, монтаж и настройка оборудования и обучение работников, первый этап реализации проекта, второй этап реализации проекта.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и поставка оборудования – 14 календарных дней. Монтаж, наладка и обучение – 10 рабочих (14 календарных) дней. Под первым этапом реализации проекта понимается период, предшествующий выходу на плановые показатели продаж. Второй этап реализации – непосредственно деятельность предприятия в соответствии с установленными плановыми показателями. Выход на второй этап планируется к 6 месяцу работы.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Управленческие функции осуществляются директором – наемным работником с опытом работы в сфере деревообработки, либо в сфере торговли пиломатериалом. Критичным является наличие опыта работы на позиции директора (заместителя директора) предприятия.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привлечению клиентов осуществляется торговыми представителями. Основная работа приходится на межсезонье для подготовки почвы к сезону. Обслуживание клиентов осуществляют специалисты по продажам, которые обрабатывают входящие заявки, выставляют счета и контролируют оплату, организуют отгрузку.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проходят тщательный отбор перед принятием решения о найме. Как следствие, набор происходит с целью долгосрочного сотрудничества, а не сезонной работы. Работники сохраняют оклад даже в межсезонье, когда фактически не ведется производственная работа и деятельность по реализации товара.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6.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702"/>
        <w:gridCol w:w="1892"/>
        <w:gridCol w:w="2010"/>
        <w:gridCol w:w="2054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Оператор пилорамы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Торговый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Специалист 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Торговый представитель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Вспомогательный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326 000,00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97 800,00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423 800,00 </w:t>
            </w:r>
            <w:r w:rsidRPr="0043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Рисунок 1. Организационная диаграмма ООО «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Пили-Пила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7425" cy="3886200"/>
            <wp:effectExtent l="0" t="0" r="9525" b="0"/>
            <wp:docPr id="1" name="Рисунок 1" descr="http://www.openbusiness.ru/upload/fransh/pilorama-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pilorama-r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план рассчитан на пятилетнюю перспективу. Учтены все виды затрат предприятия. На основании сравнения различных вариантов, по результатам расчета выбрана упрощенная система налогообложения с объектом «доходы минус расходы».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иведен в Приложении 1. Структура затрат предприятия отражена в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4, 5, 6. Общая сумма инвестиционных затрат – 7,17 млн. руб. Из них 2,0 млн. – собственные средства. 5,17 млн. руб. планируется привлечь в виде банковского кредита под 18% годовых, на срок 48 месяцев. Выплаты происходят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 с отсрочкой первого платежа в три месяца. Инвестиции в оборотные средства составляют 1,5 млн. руб. – это обеспечит предприятие оборотными средствами до момента выхода его на окупаемость.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инвестиционной привлекательности проекта используются общепринятые интегральные показатели – чистый дисконтированный доход, индекс доходности внутренняя норма прибыли и др. Интегральные показатели приведены в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Ставка дисконтирования выбрана на уровне 15%, что характерно для организации нового производства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неинновационной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 рынок для сбыта продукции уже существует. </w:t>
      </w: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такой ставке дисконтирования все интегральные показатели имеют весьма высокие значения, что позволяет говорить о высокой инвестиционной привлекательности проекта. Срок окупаемости составляет 6 месяцев, а чистая прибыль после выхода предприятия на плановые показатели составит 15,65 млн. руб. в год.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 РИСКИ И ГАРАНТИИ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рассматриваемая сфера бизнеса является хорошо освоенной как в мировой, так и в отечественной практике, риски, связанные с реализацией данного проекта, низки. Низкий уровень конкуренции и высокий спрос на продукцию данного типа также позволяют говорить о хороших перспективах проекта.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учесть все возможные риски, связанные с реализацией проекта. Оценка рисков и мероприятия по их предотвращению и/или ликвидации последствий приведены в</w:t>
      </w:r>
      <w:proofErr w:type="gram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7.</w:t>
      </w:r>
    </w:p>
    <w:p w:rsidR="00432F0E" w:rsidRPr="00432F0E" w:rsidRDefault="00432F0E" w:rsidP="00432F0E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lang w:eastAsia="ru-RU"/>
        </w:rPr>
        <w:t>Таблица 7. Вероятные риски и мероприятия по их предотвращению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868"/>
        <w:gridCol w:w="1831"/>
        <w:gridCol w:w="3652"/>
      </w:tblGrid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Тяжесть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Невыход на плановый объем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Активная работа торговых представителей на первых этапах реализации проекта; активная обработка рынка; обеспечение конкурентоспособной цены и условий поставки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Изменение геополитической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Тяжело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Минимизация складских запасов; перевод средств в максимально ликвидные активы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Ухудшение экономической ситуации в стране и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относительно высокой доли продаж за счет бюджетных объектов строительства, т.к. они наименее подвержены влиянию конъюнктуры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Выход на рынок прямого конкурента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Обеспечение прочных позиций на рынке уже на первом этапе реализации проекта за счет гибкой ценовой политики и условий поставки; установление прочных партнерских </w:t>
            </w: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взаимоотношений с ключевыми клиентами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Перебои с поставкой сырья по причине прекращения паромной переправы из-за метеоусловий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запаса сырья на неделю и неснижаемого запас на случай форс-мажора – на 4 смены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Перебои с поставками сырья по вине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Постоянный мониторинг рынка и поддержание отношений с альтернативными поставщиками</w:t>
            </w:r>
          </w:p>
        </w:tc>
      </w:tr>
      <w:tr w:rsidR="00432F0E" w:rsidRPr="00432F0E" w:rsidTr="00432F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цен на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F0E" w:rsidRPr="00432F0E" w:rsidRDefault="00432F0E" w:rsidP="00432F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32F0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Указание в договоре поставки условий повышения цен – информирование не менее чем за 1 месяц, возможность фиксирования цен на некоторый объем товара и т.д. </w:t>
            </w:r>
          </w:p>
        </w:tc>
      </w:tr>
    </w:tbl>
    <w:p w:rsidR="00432F0E" w:rsidRPr="00432F0E" w:rsidRDefault="00432F0E" w:rsidP="00432F0E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учете всех возможных факторов риска и реализации мероприятий по их предотвращению, можно говорить о том, что проект </w:t>
      </w:r>
      <w:proofErr w:type="spellStart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низкорисковый</w:t>
      </w:r>
      <w:proofErr w:type="spellEnd"/>
      <w:r w:rsidRPr="0043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следовательно, представляет интерес для инвестора.</w:t>
      </w:r>
    </w:p>
    <w:p w:rsidR="00432F0E" w:rsidRPr="00432F0E" w:rsidRDefault="00432F0E" w:rsidP="00432F0E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32F0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BA"/>
    <w:multiLevelType w:val="multilevel"/>
    <w:tmpl w:val="2ADA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115EF"/>
    <w:multiLevelType w:val="multilevel"/>
    <w:tmpl w:val="621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0E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32F0E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2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F0E"/>
  </w:style>
  <w:style w:type="paragraph" w:styleId="a5">
    <w:name w:val="Balloon Text"/>
    <w:basedOn w:val="a"/>
    <w:link w:val="a6"/>
    <w:uiPriority w:val="99"/>
    <w:semiHidden/>
    <w:unhideWhenUsed/>
    <w:rsid w:val="004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2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F0E"/>
  </w:style>
  <w:style w:type="paragraph" w:styleId="a5">
    <w:name w:val="Balloon Text"/>
    <w:basedOn w:val="a"/>
    <w:link w:val="a6"/>
    <w:uiPriority w:val="99"/>
    <w:semiHidden/>
    <w:unhideWhenUsed/>
    <w:rsid w:val="004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9369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2016-09-04T08:17:00Z</dcterms:created>
  <dcterms:modified xsi:type="dcterms:W3CDTF">2016-09-04T08:18:00Z</dcterms:modified>
</cp:coreProperties>
</file>